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344" w:rsidRDefault="00722344" w:rsidP="00722344">
      <w:pPr>
        <w:pStyle w:val="1"/>
        <w:rPr>
          <w:szCs w:val="24"/>
        </w:rPr>
      </w:pPr>
      <w:bookmarkStart w:id="0" w:name="_Toc443726271"/>
      <w:bookmarkStart w:id="1" w:name="_GoBack"/>
      <w:r w:rsidRPr="00652840">
        <w:t>Требования к организации учета с применением измерительных трансформаторов</w:t>
      </w:r>
      <w:bookmarkEnd w:id="0"/>
      <w:r w:rsidRPr="00652840">
        <w:t xml:space="preserve"> </w:t>
      </w:r>
    </w:p>
    <w:bookmarkEnd w:id="1"/>
    <w:p w:rsidR="00722344" w:rsidRDefault="00722344" w:rsidP="00722344">
      <w:pPr>
        <w:jc w:val="both"/>
        <w:rPr>
          <w:rFonts w:ascii="Times New Roman" w:hAnsi="Times New Roman"/>
        </w:rPr>
      </w:pPr>
    </w:p>
    <w:p w:rsidR="00722344" w:rsidRDefault="00722344" w:rsidP="0072234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Класс точности трансформаторов тока и напряжения для присоединения расчетных счетчиков электроэнергии должен быть не более 0,5. </w:t>
      </w:r>
    </w:p>
    <w:p w:rsidR="00722344" w:rsidRDefault="00722344" w:rsidP="0072234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Допускается применение трансформаторов тока с завышенным коэффициентом трансформации (по условиям электродинамической и термической стойкости или защиты шин), если при максимальной нагрузке присоединения ток во вторичной обмотке трансформатора тока будет составлять не менее 40% номинального тока счетчика, а при минимальной рабочей нагрузке не менее 5%. </w:t>
      </w:r>
    </w:p>
    <w:p w:rsidR="00722344" w:rsidRDefault="00722344" w:rsidP="0072234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Нагрузка вторичных обмоток измерительных трансформаторов, к которым присоединяются счетчики, не должна превышать номинальных значений. </w:t>
      </w:r>
    </w:p>
    <w:p w:rsidR="00722344" w:rsidRDefault="00722344" w:rsidP="0072234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Сечение и длина проводов и кабелей в цепях напряжения расчетных счетчиков должны выбираться </w:t>
      </w:r>
      <w:proofErr w:type="gramStart"/>
      <w:r>
        <w:rPr>
          <w:rFonts w:ascii="Times New Roman" w:hAnsi="Times New Roman"/>
        </w:rPr>
        <w:t>такими</w:t>
      </w:r>
      <w:proofErr w:type="gramEnd"/>
      <w:r>
        <w:rPr>
          <w:rFonts w:ascii="Times New Roman" w:hAnsi="Times New Roman"/>
        </w:rPr>
        <w:t xml:space="preserve">, чтобы потери напряжения в этих цепях составляли не более 0,25% номинального напряжения. Для обеспечения этого требования допускается применение отдельных кабелей от трансформаторов напряжения до счетчиков. </w:t>
      </w:r>
    </w:p>
    <w:p w:rsidR="00722344" w:rsidRDefault="00722344" w:rsidP="0072234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Цепи учета следует выводить на самостоятельные сборки зажимов или секции в общем ряду зажимов. При отсутствии сборок с зажимами необходимо устанавливать испытательные блоки. Зажимы должны обеспечивать </w:t>
      </w:r>
      <w:proofErr w:type="spellStart"/>
      <w:r>
        <w:rPr>
          <w:rFonts w:ascii="Times New Roman" w:hAnsi="Times New Roman"/>
        </w:rPr>
        <w:t>закорачивание</w:t>
      </w:r>
      <w:proofErr w:type="spellEnd"/>
      <w:r>
        <w:rPr>
          <w:rFonts w:ascii="Times New Roman" w:hAnsi="Times New Roman"/>
        </w:rPr>
        <w:t xml:space="preserve"> вторичных цепей трансформаторов тока, отключение токовых цепей счетчика и цепей напряжения в каждой фазе счетчиков при их замене или проверке, а также включение образцового счетчика без отсоединения проводов и кабелей. Конструкция сборок и коробок зажимов расчетных счетчиков должна обеспечивать возможность их пломбирования. </w:t>
      </w:r>
    </w:p>
    <w:p w:rsidR="00722344" w:rsidRDefault="00722344" w:rsidP="0072234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Трансформаторы напряжения, используемые только для учета и защищенные на стороне высшего напряжения предохранителями, должны иметь контроль целости предохранителей. </w:t>
      </w:r>
    </w:p>
    <w:p w:rsidR="00722344" w:rsidRDefault="00722344" w:rsidP="0072234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На подстанциях потребителей конструкция решеток и дверей камер, в которых установлены предохранители на стороне высшего напряжения трансформаторов напряжения, используемых для расчетного учета, должна обеспечивать возможность их пломбирования. </w:t>
      </w:r>
      <w:r>
        <w:rPr>
          <w:rFonts w:ascii="Times New Roman" w:hAnsi="Times New Roman"/>
        </w:rPr>
        <w:tab/>
        <w:t xml:space="preserve">Рукоятки приводов разъединителей трансформаторов напряжения, используемых для расчетного учета, должны иметь приспособления для их пломбирования. </w:t>
      </w:r>
    </w:p>
    <w:p w:rsidR="00621868" w:rsidRDefault="00621868"/>
    <w:sectPr w:rsidR="00621868">
      <w:pgSz w:w="11906" w:h="16838"/>
      <w:pgMar w:top="850" w:right="850" w:bottom="85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344"/>
    <w:rsid w:val="00621868"/>
    <w:rsid w:val="0072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344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link w:val="10"/>
    <w:qFormat/>
    <w:rsid w:val="00722344"/>
    <w:pPr>
      <w:keepNext/>
      <w:numPr>
        <w:numId w:val="1"/>
      </w:numPr>
      <w:spacing w:before="170" w:after="57"/>
      <w:ind w:left="0" w:firstLine="0"/>
      <w:outlineLvl w:val="0"/>
    </w:pPr>
    <w:rPr>
      <w:rFonts w:ascii="Times New Roman" w:eastAsia="Microsoft YaHei" w:hAnsi="Times New Roman"/>
      <w:b/>
      <w:bCs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22344"/>
    <w:rPr>
      <w:rFonts w:ascii="Times New Roman" w:eastAsia="Microsoft YaHei" w:hAnsi="Times New Roman" w:cs="Mangal"/>
      <w:b/>
      <w:bCs/>
      <w:kern w:val="1"/>
      <w:sz w:val="24"/>
      <w:szCs w:val="32"/>
      <w:lang w:eastAsia="hi-IN" w:bidi="hi-IN"/>
    </w:rPr>
  </w:style>
  <w:style w:type="paragraph" w:styleId="a0">
    <w:name w:val="Body Text"/>
    <w:basedOn w:val="a"/>
    <w:link w:val="a4"/>
    <w:uiPriority w:val="99"/>
    <w:semiHidden/>
    <w:unhideWhenUsed/>
    <w:rsid w:val="00722344"/>
    <w:pPr>
      <w:spacing w:after="120"/>
    </w:pPr>
    <w:rPr>
      <w:szCs w:val="21"/>
    </w:rPr>
  </w:style>
  <w:style w:type="character" w:customStyle="1" w:styleId="a4">
    <w:name w:val="Основной текст Знак"/>
    <w:basedOn w:val="a1"/>
    <w:link w:val="a0"/>
    <w:uiPriority w:val="99"/>
    <w:semiHidden/>
    <w:rsid w:val="00722344"/>
    <w:rPr>
      <w:rFonts w:ascii="Arial" w:eastAsia="SimSun" w:hAnsi="Arial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344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link w:val="10"/>
    <w:qFormat/>
    <w:rsid w:val="00722344"/>
    <w:pPr>
      <w:keepNext/>
      <w:numPr>
        <w:numId w:val="1"/>
      </w:numPr>
      <w:spacing w:before="170" w:after="57"/>
      <w:ind w:left="0" w:firstLine="0"/>
      <w:outlineLvl w:val="0"/>
    </w:pPr>
    <w:rPr>
      <w:rFonts w:ascii="Times New Roman" w:eastAsia="Microsoft YaHei" w:hAnsi="Times New Roman"/>
      <w:b/>
      <w:bCs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22344"/>
    <w:rPr>
      <w:rFonts w:ascii="Times New Roman" w:eastAsia="Microsoft YaHei" w:hAnsi="Times New Roman" w:cs="Mangal"/>
      <w:b/>
      <w:bCs/>
      <w:kern w:val="1"/>
      <w:sz w:val="24"/>
      <w:szCs w:val="32"/>
      <w:lang w:eastAsia="hi-IN" w:bidi="hi-IN"/>
    </w:rPr>
  </w:style>
  <w:style w:type="paragraph" w:styleId="a0">
    <w:name w:val="Body Text"/>
    <w:basedOn w:val="a"/>
    <w:link w:val="a4"/>
    <w:uiPriority w:val="99"/>
    <w:semiHidden/>
    <w:unhideWhenUsed/>
    <w:rsid w:val="00722344"/>
    <w:pPr>
      <w:spacing w:after="120"/>
    </w:pPr>
    <w:rPr>
      <w:szCs w:val="21"/>
    </w:rPr>
  </w:style>
  <w:style w:type="character" w:customStyle="1" w:styleId="a4">
    <w:name w:val="Основной текст Знак"/>
    <w:basedOn w:val="a1"/>
    <w:link w:val="a0"/>
    <w:uiPriority w:val="99"/>
    <w:semiHidden/>
    <w:rsid w:val="00722344"/>
    <w:rPr>
      <w:rFonts w:ascii="Arial" w:eastAsia="SimSun" w:hAnsi="Arial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konradi_iy</dc:creator>
  <cp:lastModifiedBy>konradi_iy</cp:lastModifiedBy>
  <cp:revision>1</cp:revision>
  <dcterms:created xsi:type="dcterms:W3CDTF">2019-04-09T02:10:00Z</dcterms:created>
  <dcterms:modified xsi:type="dcterms:W3CDTF">2019-04-09T02:11:00Z</dcterms:modified>
</cp:coreProperties>
</file>